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99659" w14:textId="77777777" w:rsidR="00B97F90" w:rsidRPr="00EB6599" w:rsidRDefault="00B97F90" w:rsidP="00B94312">
      <w:pPr>
        <w:rPr>
          <w:b/>
        </w:rPr>
      </w:pPr>
      <w:r w:rsidRPr="00B94312">
        <w:rPr>
          <w:b/>
        </w:rPr>
        <w:t>Как считался рейтинг</w:t>
      </w:r>
    </w:p>
    <w:p w14:paraId="3B79930C" w14:textId="77777777" w:rsidR="00B94312" w:rsidRPr="00EB6599" w:rsidRDefault="00B94312" w:rsidP="00B94312">
      <w:pPr>
        <w:rPr>
          <w:b/>
        </w:rPr>
      </w:pPr>
    </w:p>
    <w:p w14:paraId="420B0E79" w14:textId="77777777" w:rsidR="00286C25" w:rsidRPr="00B94312" w:rsidRDefault="00286C25" w:rsidP="00B94312">
      <w:pPr>
        <w:rPr>
          <w:color w:val="333333"/>
        </w:rPr>
      </w:pPr>
      <w:r w:rsidRPr="00B94312">
        <w:rPr>
          <w:color w:val="333333"/>
        </w:rPr>
        <w:t xml:space="preserve">Рейтинг медиаагентств является производным от другого рейтинга, который готовит </w:t>
      </w:r>
      <w:proofErr w:type="spellStart"/>
      <w:r w:rsidRPr="00B94312">
        <w:rPr>
          <w:color w:val="333333"/>
        </w:rPr>
        <w:t>AdIndex</w:t>
      </w:r>
      <w:proofErr w:type="spellEnd"/>
      <w:r w:rsidRPr="00B94312">
        <w:rPr>
          <w:color w:val="333333"/>
        </w:rPr>
        <w:t xml:space="preserve"> – крупнейших рекламодателей</w:t>
      </w:r>
      <w:r w:rsidR="009A53AC" w:rsidRPr="00B94312">
        <w:rPr>
          <w:color w:val="333333"/>
        </w:rPr>
        <w:t xml:space="preserve"> (</w:t>
      </w:r>
      <w:r w:rsidR="00A470E7">
        <w:rPr>
          <w:color w:val="333333"/>
        </w:rPr>
        <w:t xml:space="preserve">методика приведена </w:t>
      </w:r>
      <w:hyperlink r:id="rId6" w:history="1">
        <w:r w:rsidR="00A470E7" w:rsidRPr="001605E7">
          <w:rPr>
            <w:rStyle w:val="a3"/>
          </w:rPr>
          <w:t>по ссылке</w:t>
        </w:r>
      </w:hyperlink>
      <w:r w:rsidR="0028780D" w:rsidRPr="00B94312">
        <w:rPr>
          <w:color w:val="333333"/>
        </w:rPr>
        <w:t>)</w:t>
      </w:r>
      <w:r w:rsidRPr="00B94312">
        <w:rPr>
          <w:color w:val="333333"/>
        </w:rPr>
        <w:t>. Он</w:t>
      </w:r>
      <w:r w:rsidR="0028780D" w:rsidRPr="00B94312">
        <w:rPr>
          <w:color w:val="333333"/>
        </w:rPr>
        <w:t>,</w:t>
      </w:r>
      <w:r w:rsidRPr="00B94312">
        <w:rPr>
          <w:color w:val="333333"/>
        </w:rPr>
        <w:t xml:space="preserve"> в свою очередь</w:t>
      </w:r>
      <w:r w:rsidR="0028780D" w:rsidRPr="00B94312">
        <w:rPr>
          <w:color w:val="333333"/>
        </w:rPr>
        <w:t>,</w:t>
      </w:r>
      <w:r w:rsidRPr="00B94312">
        <w:rPr>
          <w:color w:val="333333"/>
        </w:rPr>
        <w:t xml:space="preserve"> базируется на данных исследовательских компаний TNS Russia и «ЭСПАР-Аналитик». Учитываются затраты только в тех медиа, где есть независимый мониторинг: на ТВ, радио, прессе, наружной рекламе</w:t>
      </w:r>
      <w:r w:rsidR="00233DC8" w:rsidRPr="00B94312">
        <w:rPr>
          <w:color w:val="333333"/>
        </w:rPr>
        <w:t xml:space="preserve"> и интернете</w:t>
      </w:r>
      <w:r w:rsidRPr="00B94312">
        <w:rPr>
          <w:color w:val="333333"/>
        </w:rPr>
        <w:t>.</w:t>
      </w:r>
    </w:p>
    <w:p w14:paraId="3D370D00" w14:textId="77777777" w:rsidR="00233DC8" w:rsidRPr="00B94312" w:rsidRDefault="00286C25" w:rsidP="00B94312">
      <w:pPr>
        <w:rPr>
          <w:color w:val="333333"/>
        </w:rPr>
      </w:pPr>
      <w:r w:rsidRPr="00B94312">
        <w:rPr>
          <w:color w:val="333333"/>
        </w:rPr>
        <w:t>Методика подсчета согласована со всеми основными участниками рекламного рынка. Сами агентства дают свои экспертные заключения, какие условия в том или ином медиа может получить конкретный рекламодатель.</w:t>
      </w:r>
      <w:r w:rsidRPr="00B94312">
        <w:rPr>
          <w:color w:val="333333"/>
        </w:rPr>
        <w:br/>
        <w:t xml:space="preserve">Методология постоянно усовершенствуется. К примеру, уже </w:t>
      </w:r>
      <w:r w:rsidR="00233DC8" w:rsidRPr="00B94312">
        <w:rPr>
          <w:color w:val="333333"/>
        </w:rPr>
        <w:t>четыре</w:t>
      </w:r>
      <w:r w:rsidRPr="00B94312">
        <w:rPr>
          <w:color w:val="333333"/>
        </w:rPr>
        <w:t xml:space="preserve"> года </w:t>
      </w:r>
      <w:proofErr w:type="spellStart"/>
      <w:r w:rsidRPr="00B94312">
        <w:rPr>
          <w:color w:val="333333"/>
        </w:rPr>
        <w:t>AdIndex</w:t>
      </w:r>
      <w:proofErr w:type="spellEnd"/>
      <w:r w:rsidRPr="00B94312">
        <w:rPr>
          <w:color w:val="333333"/>
        </w:rPr>
        <w:t xml:space="preserve"> оценивает расходы на медийную</w:t>
      </w:r>
      <w:r w:rsidR="00233DC8" w:rsidRPr="00B94312">
        <w:rPr>
          <w:color w:val="333333"/>
        </w:rPr>
        <w:t xml:space="preserve"> (баннерную) интернет-рекламу, </w:t>
      </w:r>
      <w:r w:rsidRPr="00B94312">
        <w:rPr>
          <w:color w:val="333333"/>
        </w:rPr>
        <w:t>в этом году редакция подсчитала и возможные бюджеты на другие коммуникационные услуги в цифровой среде: контекстную рекламу (коммерческие ссылки в результатах поиска и на профильных ресурсах), автоматизированные закупки рекламы</w:t>
      </w:r>
      <w:r w:rsidR="00233DC8" w:rsidRPr="00B94312">
        <w:rPr>
          <w:color w:val="333333"/>
        </w:rPr>
        <w:t>, медийную видео-рекламу</w:t>
      </w:r>
      <w:r w:rsidRPr="00B94312">
        <w:rPr>
          <w:color w:val="333333"/>
        </w:rPr>
        <w:t xml:space="preserve"> и пр. </w:t>
      </w:r>
    </w:p>
    <w:p w14:paraId="03FA9910" w14:textId="77777777" w:rsidR="00286C25" w:rsidRDefault="00286C25" w:rsidP="00B94312">
      <w:pPr>
        <w:rPr>
          <w:color w:val="333333"/>
        </w:rPr>
      </w:pPr>
      <w:r w:rsidRPr="00B94312">
        <w:rPr>
          <w:color w:val="333333"/>
        </w:rPr>
        <w:t xml:space="preserve">Параллельно c подготовкой рейтинга рекламодателей редакция </w:t>
      </w:r>
      <w:proofErr w:type="spellStart"/>
      <w:r w:rsidRPr="00B94312">
        <w:rPr>
          <w:color w:val="333333"/>
        </w:rPr>
        <w:t>AdIndex</w:t>
      </w:r>
      <w:proofErr w:type="spellEnd"/>
      <w:r w:rsidRPr="00B94312">
        <w:rPr>
          <w:color w:val="333333"/>
        </w:rPr>
        <w:t xml:space="preserve"> составляет клиентские листы агентств. Один и тот же рекламодатель может иметь сразу несколько подрядчиков: к примеру, одно агентство закупает рекламу только на ТВ, другое – во всех остальных медиа. Либо рекламодатель может в течение года поменять партнера.</w:t>
      </w:r>
    </w:p>
    <w:p w14:paraId="3FCEA90B" w14:textId="77777777" w:rsidR="00EF38D6" w:rsidRPr="00B94312" w:rsidRDefault="00EF38D6" w:rsidP="00B94312">
      <w:pPr>
        <w:rPr>
          <w:color w:val="333333"/>
        </w:rPr>
      </w:pPr>
    </w:p>
    <w:p w14:paraId="7637E79B" w14:textId="77777777" w:rsidR="00B94312" w:rsidRDefault="00286C25" w:rsidP="00B94312">
      <w:pPr>
        <w:rPr>
          <w:color w:val="333333"/>
        </w:rPr>
      </w:pPr>
      <w:r w:rsidRPr="00B94312">
        <w:rPr>
          <w:color w:val="333333"/>
        </w:rPr>
        <w:t xml:space="preserve">Одно агентство может привлекать к закупкам рекламы другого подрядчика. В этом случае бюджет засчитывается только тому, кто напрямую работает с клиентом. Исключение сделано лишь для «карманных» агентств. Например, у </w:t>
      </w:r>
      <w:proofErr w:type="spellStart"/>
      <w:r w:rsidRPr="00B94312">
        <w:rPr>
          <w:color w:val="333333"/>
        </w:rPr>
        <w:t>Samsung</w:t>
      </w:r>
      <w:proofErr w:type="spellEnd"/>
      <w:r w:rsidRPr="00B94312">
        <w:rPr>
          <w:color w:val="333333"/>
        </w:rPr>
        <w:t xml:space="preserve"> </w:t>
      </w:r>
      <w:proofErr w:type="spellStart"/>
      <w:r w:rsidRPr="00B94312">
        <w:rPr>
          <w:color w:val="333333"/>
        </w:rPr>
        <w:t>Electronics</w:t>
      </w:r>
      <w:proofErr w:type="spellEnd"/>
      <w:r w:rsidRPr="00B94312">
        <w:rPr>
          <w:color w:val="333333"/>
        </w:rPr>
        <w:t xml:space="preserve"> есть собственный подрядчик </w:t>
      </w:r>
      <w:proofErr w:type="spellStart"/>
      <w:r w:rsidRPr="00B94312">
        <w:rPr>
          <w:color w:val="333333"/>
        </w:rPr>
        <w:t>Cheil</w:t>
      </w:r>
      <w:proofErr w:type="spellEnd"/>
      <w:r w:rsidRPr="00B94312">
        <w:rPr>
          <w:color w:val="333333"/>
        </w:rPr>
        <w:t xml:space="preserve"> </w:t>
      </w:r>
      <w:proofErr w:type="spellStart"/>
      <w:r w:rsidRPr="00B94312">
        <w:rPr>
          <w:color w:val="333333"/>
        </w:rPr>
        <w:t>Communications</w:t>
      </w:r>
      <w:proofErr w:type="spellEnd"/>
      <w:r w:rsidRPr="00B94312">
        <w:rPr>
          <w:color w:val="333333"/>
        </w:rPr>
        <w:t xml:space="preserve">, чьи офисы работают в тех же странах, где присутствует корейский производитель. Есть собственное сетевое агентство </w:t>
      </w:r>
      <w:proofErr w:type="spellStart"/>
      <w:r w:rsidRPr="00B94312">
        <w:rPr>
          <w:color w:val="333333"/>
        </w:rPr>
        <w:t>Innocean</w:t>
      </w:r>
      <w:proofErr w:type="spellEnd"/>
      <w:r w:rsidRPr="00B94312">
        <w:rPr>
          <w:color w:val="333333"/>
        </w:rPr>
        <w:t xml:space="preserve"> у альянса </w:t>
      </w:r>
      <w:proofErr w:type="spellStart"/>
      <w:r w:rsidRPr="00B94312">
        <w:rPr>
          <w:color w:val="333333"/>
        </w:rPr>
        <w:t>Hyundai-Kia</w:t>
      </w:r>
      <w:proofErr w:type="spellEnd"/>
      <w:r w:rsidRPr="00B94312">
        <w:rPr>
          <w:color w:val="333333"/>
        </w:rPr>
        <w:t xml:space="preserve">, в прошлом году его офис заработал и в Москве. Однако бюджет </w:t>
      </w:r>
      <w:proofErr w:type="spellStart"/>
      <w:r w:rsidRPr="00B94312">
        <w:rPr>
          <w:color w:val="333333"/>
        </w:rPr>
        <w:t>Samsung</w:t>
      </w:r>
      <w:proofErr w:type="spellEnd"/>
      <w:r w:rsidRPr="00B94312">
        <w:rPr>
          <w:color w:val="333333"/>
        </w:rPr>
        <w:t xml:space="preserve"> </w:t>
      </w:r>
      <w:proofErr w:type="spellStart"/>
      <w:r w:rsidRPr="00B94312">
        <w:rPr>
          <w:color w:val="333333"/>
        </w:rPr>
        <w:t>Electronics</w:t>
      </w:r>
      <w:proofErr w:type="spellEnd"/>
      <w:r w:rsidRPr="00B94312">
        <w:rPr>
          <w:color w:val="333333"/>
        </w:rPr>
        <w:t xml:space="preserve"> засчитан агентству </w:t>
      </w:r>
      <w:proofErr w:type="spellStart"/>
      <w:r w:rsidRPr="00B94312">
        <w:rPr>
          <w:color w:val="333333"/>
        </w:rPr>
        <w:t>Starcom</w:t>
      </w:r>
      <w:proofErr w:type="spellEnd"/>
      <w:r w:rsidRPr="00B94312">
        <w:rPr>
          <w:color w:val="333333"/>
        </w:rPr>
        <w:t xml:space="preserve">, а </w:t>
      </w:r>
      <w:proofErr w:type="spellStart"/>
      <w:r w:rsidRPr="00B94312">
        <w:rPr>
          <w:color w:val="333333"/>
        </w:rPr>
        <w:t>Hyundai-Kia</w:t>
      </w:r>
      <w:proofErr w:type="spellEnd"/>
      <w:r w:rsidRPr="00B94312">
        <w:rPr>
          <w:color w:val="333333"/>
        </w:rPr>
        <w:t xml:space="preserve"> - </w:t>
      </w:r>
      <w:proofErr w:type="spellStart"/>
      <w:r w:rsidRPr="00B94312">
        <w:rPr>
          <w:color w:val="333333"/>
        </w:rPr>
        <w:t>Havas</w:t>
      </w:r>
      <w:proofErr w:type="spellEnd"/>
      <w:r w:rsidRPr="00B94312">
        <w:rPr>
          <w:color w:val="333333"/>
        </w:rPr>
        <w:t xml:space="preserve"> Media. Именно они, по мнению </w:t>
      </w:r>
      <w:proofErr w:type="spellStart"/>
      <w:r w:rsidRPr="00B94312">
        <w:rPr>
          <w:color w:val="333333"/>
        </w:rPr>
        <w:t>AdIndex</w:t>
      </w:r>
      <w:proofErr w:type="spellEnd"/>
      <w:r w:rsidRPr="00B94312">
        <w:rPr>
          <w:color w:val="333333"/>
        </w:rPr>
        <w:t>, осуществляют основную работу по закупкам рекламы.</w:t>
      </w:r>
    </w:p>
    <w:p w14:paraId="59BD12A1" w14:textId="77777777" w:rsidR="00A479F3" w:rsidRDefault="00EF38D6" w:rsidP="00B94312">
      <w:pPr>
        <w:rPr>
          <w:color w:val="333333"/>
        </w:rPr>
      </w:pPr>
      <w:r>
        <w:rPr>
          <w:color w:val="333333"/>
        </w:rPr>
        <w:t xml:space="preserve">А вот в отношении </w:t>
      </w:r>
      <w:r w:rsidR="00593E2E">
        <w:rPr>
          <w:color w:val="333333"/>
        </w:rPr>
        <w:t xml:space="preserve">агентства «Аллен Медиа», специализирующегося на </w:t>
      </w:r>
      <w:r w:rsidR="00513C07">
        <w:rPr>
          <w:color w:val="333333"/>
        </w:rPr>
        <w:t>закупках</w:t>
      </w:r>
      <w:r w:rsidR="00593E2E">
        <w:rPr>
          <w:color w:val="333333"/>
        </w:rPr>
        <w:t xml:space="preserve"> рекламы на радио, та</w:t>
      </w:r>
      <w:r w:rsidR="00513C07">
        <w:rPr>
          <w:color w:val="333333"/>
        </w:rPr>
        <w:t xml:space="preserve">кое исключение сделано не было, поскольку это привело бы к дублированию бюджетов в </w:t>
      </w:r>
      <w:r w:rsidR="00C64DA1">
        <w:rPr>
          <w:color w:val="333333"/>
        </w:rPr>
        <w:t>показателях</w:t>
      </w:r>
      <w:r w:rsidR="00513C07">
        <w:rPr>
          <w:color w:val="333333"/>
        </w:rPr>
        <w:t xml:space="preserve"> </w:t>
      </w:r>
      <w:r w:rsidR="00A252CB">
        <w:rPr>
          <w:color w:val="333333"/>
        </w:rPr>
        <w:t xml:space="preserve">«Аллен Медиа» и других </w:t>
      </w:r>
      <w:r w:rsidR="00513C07">
        <w:rPr>
          <w:color w:val="333333"/>
        </w:rPr>
        <w:t>агентств.</w:t>
      </w:r>
      <w:r w:rsidR="004A2543">
        <w:rPr>
          <w:color w:val="333333"/>
        </w:rPr>
        <w:t xml:space="preserve"> В ходе согласования </w:t>
      </w:r>
      <w:r w:rsidR="00722D05">
        <w:rPr>
          <w:color w:val="333333"/>
        </w:rPr>
        <w:t xml:space="preserve">оценки </w:t>
      </w:r>
      <w:proofErr w:type="spellStart"/>
      <w:r w:rsidR="00722D05">
        <w:rPr>
          <w:color w:val="333333"/>
          <w:lang w:val="en-US"/>
        </w:rPr>
        <w:t>AdIndex</w:t>
      </w:r>
      <w:proofErr w:type="spellEnd"/>
      <w:r w:rsidR="00722D05" w:rsidRPr="00722D05">
        <w:rPr>
          <w:color w:val="333333"/>
        </w:rPr>
        <w:t xml:space="preserve"> </w:t>
      </w:r>
      <w:r w:rsidR="00722D05">
        <w:rPr>
          <w:color w:val="333333"/>
        </w:rPr>
        <w:t xml:space="preserve">не удалось получить от агентства </w:t>
      </w:r>
      <w:r w:rsidR="004A2543">
        <w:rPr>
          <w:color w:val="333333"/>
        </w:rPr>
        <w:t xml:space="preserve">состав портфеля прямых клиентов </w:t>
      </w:r>
      <w:r w:rsidR="00722D05">
        <w:rPr>
          <w:color w:val="333333"/>
        </w:rPr>
        <w:t>для оценки, поэтому компания в рейтинг 2015 года не вошла.</w:t>
      </w:r>
    </w:p>
    <w:p w14:paraId="458084ED" w14:textId="77777777" w:rsidR="00EF38D6" w:rsidRDefault="00A252CB" w:rsidP="00B94312">
      <w:pPr>
        <w:rPr>
          <w:color w:val="333333"/>
        </w:rPr>
      </w:pPr>
      <w:r>
        <w:rPr>
          <w:color w:val="333333"/>
        </w:rPr>
        <w:t xml:space="preserve">В этом году </w:t>
      </w:r>
      <w:proofErr w:type="spellStart"/>
      <w:r>
        <w:rPr>
          <w:color w:val="333333"/>
          <w:lang w:val="en-US"/>
        </w:rPr>
        <w:t>AdIndex</w:t>
      </w:r>
      <w:proofErr w:type="spellEnd"/>
      <w:r w:rsidRPr="00A252CB">
        <w:rPr>
          <w:color w:val="333333"/>
        </w:rPr>
        <w:t xml:space="preserve"> </w:t>
      </w:r>
      <w:r>
        <w:rPr>
          <w:color w:val="333333"/>
        </w:rPr>
        <w:t xml:space="preserve">провел </w:t>
      </w:r>
      <w:r w:rsidR="00722D05">
        <w:rPr>
          <w:color w:val="333333"/>
        </w:rPr>
        <w:t xml:space="preserve">также </w:t>
      </w:r>
      <w:r w:rsidR="00B20F83">
        <w:rPr>
          <w:color w:val="333333"/>
        </w:rPr>
        <w:t>дополнительный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фактчекинг</w:t>
      </w:r>
      <w:proofErr w:type="spellEnd"/>
      <w:r>
        <w:rPr>
          <w:color w:val="333333"/>
        </w:rPr>
        <w:t xml:space="preserve"> в отношении агентств, заявляющих </w:t>
      </w:r>
      <w:r w:rsidR="00B20F83">
        <w:rPr>
          <w:color w:val="333333"/>
        </w:rPr>
        <w:t>клиентов, на которые позже поступают заявки других агентств. В сл</w:t>
      </w:r>
      <w:r w:rsidR="00C70370">
        <w:rPr>
          <w:color w:val="333333"/>
        </w:rPr>
        <w:t>учае, если так</w:t>
      </w:r>
      <w:r w:rsidR="007118C4">
        <w:rPr>
          <w:color w:val="333333"/>
        </w:rPr>
        <w:t>ие</w:t>
      </w:r>
      <w:r w:rsidR="00C70370">
        <w:rPr>
          <w:color w:val="333333"/>
        </w:rPr>
        <w:t xml:space="preserve"> </w:t>
      </w:r>
      <w:r w:rsidR="007118C4">
        <w:rPr>
          <w:color w:val="333333"/>
        </w:rPr>
        <w:t>агентства</w:t>
      </w:r>
      <w:r w:rsidR="00C70370">
        <w:rPr>
          <w:color w:val="333333"/>
        </w:rPr>
        <w:t xml:space="preserve"> не </w:t>
      </w:r>
      <w:r w:rsidR="00B20F83">
        <w:rPr>
          <w:color w:val="333333"/>
        </w:rPr>
        <w:t>могл</w:t>
      </w:r>
      <w:r w:rsidR="007118C4">
        <w:rPr>
          <w:color w:val="333333"/>
        </w:rPr>
        <w:t>и</w:t>
      </w:r>
      <w:r w:rsidR="00B20F83">
        <w:rPr>
          <w:color w:val="333333"/>
        </w:rPr>
        <w:t xml:space="preserve"> подтвердить сотрудничество с заявленны</w:t>
      </w:r>
      <w:r w:rsidR="00C70370">
        <w:rPr>
          <w:color w:val="333333"/>
        </w:rPr>
        <w:t>ми</w:t>
      </w:r>
      <w:r w:rsidR="00B20F83">
        <w:rPr>
          <w:color w:val="333333"/>
        </w:rPr>
        <w:t xml:space="preserve"> </w:t>
      </w:r>
      <w:r w:rsidR="007118C4">
        <w:rPr>
          <w:color w:val="333333"/>
        </w:rPr>
        <w:t>заказчиками</w:t>
      </w:r>
      <w:r w:rsidR="00B20F83">
        <w:rPr>
          <w:color w:val="333333"/>
        </w:rPr>
        <w:t>, он</w:t>
      </w:r>
      <w:r w:rsidR="007118C4">
        <w:rPr>
          <w:color w:val="333333"/>
        </w:rPr>
        <w:t>и</w:t>
      </w:r>
      <w:r w:rsidR="00B20F83">
        <w:rPr>
          <w:color w:val="333333"/>
        </w:rPr>
        <w:t xml:space="preserve"> </w:t>
      </w:r>
      <w:r w:rsidR="00C64DA1">
        <w:rPr>
          <w:color w:val="333333"/>
        </w:rPr>
        <w:t>исключал</w:t>
      </w:r>
      <w:r w:rsidR="007118C4">
        <w:rPr>
          <w:color w:val="333333"/>
        </w:rPr>
        <w:t>и</w:t>
      </w:r>
      <w:r w:rsidR="00C64DA1">
        <w:rPr>
          <w:color w:val="333333"/>
        </w:rPr>
        <w:t>сь из рейтинга.</w:t>
      </w:r>
      <w:r w:rsidR="00C70370">
        <w:rPr>
          <w:color w:val="333333"/>
        </w:rPr>
        <w:t xml:space="preserve"> Так, </w:t>
      </w:r>
      <w:proofErr w:type="spellStart"/>
      <w:r w:rsidR="00C70370">
        <w:rPr>
          <w:color w:val="333333"/>
          <w:lang w:val="en-US"/>
        </w:rPr>
        <w:t>AdIndex</w:t>
      </w:r>
      <w:proofErr w:type="spellEnd"/>
      <w:r w:rsidR="00C70370" w:rsidRPr="00C70370">
        <w:rPr>
          <w:color w:val="333333"/>
        </w:rPr>
        <w:t xml:space="preserve"> </w:t>
      </w:r>
      <w:r w:rsidR="007118C4">
        <w:rPr>
          <w:color w:val="333333"/>
        </w:rPr>
        <w:t xml:space="preserve">в этом году не смог убедиться в </w:t>
      </w:r>
      <w:r w:rsidR="00C70370">
        <w:rPr>
          <w:color w:val="333333"/>
        </w:rPr>
        <w:t>достоверност</w:t>
      </w:r>
      <w:r w:rsidR="007118C4">
        <w:rPr>
          <w:color w:val="333333"/>
        </w:rPr>
        <w:t>и</w:t>
      </w:r>
      <w:r w:rsidR="00C70370">
        <w:rPr>
          <w:color w:val="333333"/>
        </w:rPr>
        <w:t xml:space="preserve"> данных, поступивших от </w:t>
      </w:r>
      <w:r w:rsidR="007C33A2">
        <w:rPr>
          <w:color w:val="333333"/>
        </w:rPr>
        <w:t>агентства</w:t>
      </w:r>
      <w:r w:rsidR="00C70370">
        <w:rPr>
          <w:color w:val="333333"/>
        </w:rPr>
        <w:t xml:space="preserve"> «</w:t>
      </w:r>
      <w:proofErr w:type="spellStart"/>
      <w:r w:rsidR="00C70370">
        <w:rPr>
          <w:color w:val="333333"/>
        </w:rPr>
        <w:t>Иммедиа</w:t>
      </w:r>
      <w:proofErr w:type="spellEnd"/>
      <w:r w:rsidR="00C70370">
        <w:rPr>
          <w:color w:val="333333"/>
        </w:rPr>
        <w:t>» (</w:t>
      </w:r>
      <w:r w:rsidR="007C33A2">
        <w:rPr>
          <w:color w:val="333333"/>
        </w:rPr>
        <w:t xml:space="preserve">26 место в рейтинге 2014 года), а также от агентств группы </w:t>
      </w:r>
      <w:r w:rsidR="007C33A2">
        <w:rPr>
          <w:color w:val="333333"/>
          <w:lang w:val="en-US"/>
        </w:rPr>
        <w:t>TWIGA</w:t>
      </w:r>
      <w:r w:rsidR="007C33A2" w:rsidRPr="007C33A2">
        <w:rPr>
          <w:color w:val="333333"/>
        </w:rPr>
        <w:t xml:space="preserve"> (Media </w:t>
      </w:r>
      <w:proofErr w:type="spellStart"/>
      <w:r w:rsidR="007C33A2" w:rsidRPr="007C33A2">
        <w:rPr>
          <w:color w:val="333333"/>
        </w:rPr>
        <w:t>First</w:t>
      </w:r>
      <w:proofErr w:type="spellEnd"/>
      <w:r w:rsidR="007C33A2" w:rsidRPr="007C33A2">
        <w:rPr>
          <w:color w:val="333333"/>
        </w:rPr>
        <w:t xml:space="preserve"> </w:t>
      </w:r>
      <w:r w:rsidR="007C33A2">
        <w:rPr>
          <w:color w:val="333333"/>
        </w:rPr>
        <w:t xml:space="preserve">и </w:t>
      </w:r>
      <w:r w:rsidR="0054403F" w:rsidRPr="0054403F">
        <w:rPr>
          <w:color w:val="333333"/>
        </w:rPr>
        <w:t>TT Media</w:t>
      </w:r>
      <w:r w:rsidR="0054403F">
        <w:rPr>
          <w:color w:val="333333"/>
        </w:rPr>
        <w:t>, 37 и 61 место соответственно).</w:t>
      </w:r>
      <w:r w:rsidR="00087E29">
        <w:rPr>
          <w:color w:val="333333"/>
        </w:rPr>
        <w:t xml:space="preserve"> Эти агентства в рейтинг 2015 года </w:t>
      </w:r>
      <w:r w:rsidR="008F492C">
        <w:rPr>
          <w:color w:val="333333"/>
        </w:rPr>
        <w:t xml:space="preserve">также </w:t>
      </w:r>
      <w:r w:rsidR="00087E29">
        <w:rPr>
          <w:color w:val="333333"/>
        </w:rPr>
        <w:t>не вкл</w:t>
      </w:r>
      <w:r w:rsidR="004A2543">
        <w:rPr>
          <w:color w:val="333333"/>
        </w:rPr>
        <w:t>ючены.</w:t>
      </w:r>
    </w:p>
    <w:p w14:paraId="6E785B26" w14:textId="77777777" w:rsidR="00582CBB" w:rsidRPr="007C33A2" w:rsidRDefault="00582CBB" w:rsidP="00B94312">
      <w:pPr>
        <w:rPr>
          <w:color w:val="333333"/>
        </w:rPr>
      </w:pPr>
      <w:r>
        <w:rPr>
          <w:color w:val="333333"/>
        </w:rPr>
        <w:t xml:space="preserve">Зато </w:t>
      </w:r>
      <w:r w:rsidR="0066509E">
        <w:rPr>
          <w:color w:val="333333"/>
        </w:rPr>
        <w:t>в этом выпуске</w:t>
      </w:r>
      <w:r>
        <w:rPr>
          <w:color w:val="333333"/>
        </w:rPr>
        <w:t xml:space="preserve"> в общий рейтинг включены </w:t>
      </w:r>
      <w:r w:rsidR="0066509E">
        <w:rPr>
          <w:color w:val="333333"/>
        </w:rPr>
        <w:t xml:space="preserve">компании, </w:t>
      </w:r>
      <w:r>
        <w:rPr>
          <w:color w:val="333333"/>
        </w:rPr>
        <w:t>специализир</w:t>
      </w:r>
      <w:r w:rsidR="0066509E">
        <w:rPr>
          <w:color w:val="333333"/>
        </w:rPr>
        <w:t>ующиеся</w:t>
      </w:r>
      <w:r>
        <w:rPr>
          <w:color w:val="333333"/>
        </w:rPr>
        <w:t xml:space="preserve"> </w:t>
      </w:r>
      <w:r w:rsidR="0066509E">
        <w:rPr>
          <w:color w:val="333333"/>
        </w:rPr>
        <w:t>на интернет-</w:t>
      </w:r>
      <w:proofErr w:type="spellStart"/>
      <w:r w:rsidR="0066509E">
        <w:rPr>
          <w:color w:val="333333"/>
        </w:rPr>
        <w:t>баинге</w:t>
      </w:r>
      <w:proofErr w:type="spellEnd"/>
      <w:r>
        <w:rPr>
          <w:color w:val="333333"/>
        </w:rPr>
        <w:t xml:space="preserve">, которые в прошлом году оценивались в рамках отдельного проекта </w:t>
      </w:r>
      <w:r w:rsidR="0066509E" w:rsidRPr="0066509E">
        <w:rPr>
          <w:b/>
          <w:color w:val="333333"/>
          <w:lang w:val="en-US"/>
        </w:rPr>
        <w:t>Internet</w:t>
      </w:r>
      <w:r w:rsidR="0066509E" w:rsidRPr="0066509E">
        <w:rPr>
          <w:b/>
          <w:color w:val="333333"/>
        </w:rPr>
        <w:t xml:space="preserve"> </w:t>
      </w:r>
      <w:r w:rsidR="0066509E" w:rsidRPr="0066509E">
        <w:rPr>
          <w:b/>
          <w:color w:val="333333"/>
          <w:lang w:val="en-US"/>
        </w:rPr>
        <w:t>Buying</w:t>
      </w:r>
      <w:r w:rsidR="0066509E" w:rsidRPr="0066509E">
        <w:rPr>
          <w:b/>
          <w:color w:val="333333"/>
        </w:rPr>
        <w:t xml:space="preserve"> </w:t>
      </w:r>
      <w:r w:rsidR="0066509E" w:rsidRPr="0066509E">
        <w:rPr>
          <w:b/>
          <w:color w:val="333333"/>
          <w:lang w:val="en-US"/>
        </w:rPr>
        <w:t>Power</w:t>
      </w:r>
      <w:r w:rsidR="0066509E" w:rsidRPr="0066509E">
        <w:rPr>
          <w:color w:val="333333"/>
        </w:rPr>
        <w:t xml:space="preserve"> </w:t>
      </w:r>
      <w:r w:rsidR="00BC6263" w:rsidRPr="00BC6263">
        <w:rPr>
          <w:color w:val="333333"/>
        </w:rPr>
        <w:t>http://www.rbc.ru/technology_and_media/03/08/2015/55bf3d3d9a794714b312e45a</w:t>
      </w:r>
      <w:r w:rsidR="009E4221">
        <w:rPr>
          <w:color w:val="333333"/>
        </w:rPr>
        <w:t>.</w:t>
      </w:r>
    </w:p>
    <w:p w14:paraId="1A4DC5F4" w14:textId="77777777" w:rsidR="00B94312" w:rsidRPr="00B94312" w:rsidRDefault="00B94312" w:rsidP="00B94312">
      <w:pPr>
        <w:rPr>
          <w:color w:val="333333"/>
        </w:rPr>
      </w:pPr>
    </w:p>
    <w:p w14:paraId="34AFF2F0" w14:textId="77777777" w:rsidR="008F492C" w:rsidRPr="008F492C" w:rsidRDefault="008F492C" w:rsidP="00B94312">
      <w:pPr>
        <w:rPr>
          <w:b/>
        </w:rPr>
      </w:pPr>
      <w:r w:rsidRPr="008F492C">
        <w:rPr>
          <w:b/>
        </w:rPr>
        <w:t>Динамика показателей</w:t>
      </w:r>
    </w:p>
    <w:p w14:paraId="5D07BE19" w14:textId="77777777" w:rsidR="00B94312" w:rsidRPr="00B94312" w:rsidRDefault="00B94312" w:rsidP="00B94312">
      <w:r w:rsidRPr="00B94312">
        <w:t>Поскольку в рамках оценки интернета в 2015 и 2014 гг. использовались разные подходы, а также в силу ограничения мониторинга интернет</w:t>
      </w:r>
      <w:r w:rsidR="00A47140">
        <w:t>а</w:t>
      </w:r>
      <w:r w:rsidRPr="00B94312">
        <w:t xml:space="preserve">, </w:t>
      </w:r>
      <w:r w:rsidR="00A47140">
        <w:t>в результате которых</w:t>
      </w:r>
      <w:r w:rsidRPr="00B94312">
        <w:t xml:space="preserve"> данные </w:t>
      </w:r>
      <w:r w:rsidR="00A47140">
        <w:t xml:space="preserve">были </w:t>
      </w:r>
      <w:r w:rsidRPr="00B94312">
        <w:t xml:space="preserve">предоставлены только за девять месяцев 2015 года, динамика оборотов </w:t>
      </w:r>
      <w:r w:rsidR="008F492C">
        <w:t xml:space="preserve">в сегменте </w:t>
      </w:r>
      <w:r w:rsidRPr="00B94312">
        <w:t xml:space="preserve">достоверно не прослеживается. Сравнение показателей общих интернет-биллингов за два года </w:t>
      </w:r>
      <w:r w:rsidR="008F492C">
        <w:t xml:space="preserve">составители </w:t>
      </w:r>
      <w:r w:rsidRPr="00B94312">
        <w:t xml:space="preserve">также </w:t>
      </w:r>
      <w:r w:rsidR="008F492C">
        <w:t xml:space="preserve">считают </w:t>
      </w:r>
      <w:r w:rsidRPr="00B94312">
        <w:t>некорректн</w:t>
      </w:r>
      <w:r w:rsidR="008F492C">
        <w:t>ым</w:t>
      </w:r>
      <w:r w:rsidRPr="00B94312">
        <w:t>. Поэтому в рейтинге не приведена динамика по общим и интернет-закупкам.</w:t>
      </w:r>
    </w:p>
    <w:p w14:paraId="0D14A7EA" w14:textId="77777777" w:rsidR="00EB6599" w:rsidRDefault="00EB6599" w:rsidP="00B94312">
      <w:pPr>
        <w:rPr>
          <w:color w:val="333333"/>
        </w:rPr>
      </w:pPr>
    </w:p>
    <w:p w14:paraId="6C7A85E2" w14:textId="77777777" w:rsidR="00EB6599" w:rsidRDefault="00EB6599" w:rsidP="00B94312">
      <w:pPr>
        <w:rPr>
          <w:rStyle w:val="aa"/>
          <w:rFonts w:ascii="Tahoma" w:hAnsi="Tahoma" w:cs="Tahoma"/>
          <w:sz w:val="18"/>
          <w:szCs w:val="18"/>
        </w:rPr>
      </w:pPr>
      <w:r>
        <w:rPr>
          <w:rStyle w:val="aa"/>
          <w:rFonts w:ascii="Tahoma" w:hAnsi="Tahoma" w:cs="Tahoma"/>
          <w:sz w:val="18"/>
          <w:szCs w:val="18"/>
        </w:rPr>
        <w:t>Бюджеты на планирование</w:t>
      </w:r>
    </w:p>
    <w:p w14:paraId="336F330D" w14:textId="77777777" w:rsidR="00250D54" w:rsidRPr="00D64588" w:rsidRDefault="000C31B8" w:rsidP="00B94312">
      <w:pPr>
        <w:rPr>
          <w:color w:val="333333"/>
        </w:rPr>
      </w:pPr>
      <w:r>
        <w:rPr>
          <w:color w:val="333333"/>
        </w:rPr>
        <w:t>В этом году впервые была произведена оценка бюджетов на планирование рекламных кампаний. Этот сервис является важной состав</w:t>
      </w:r>
      <w:r w:rsidR="00D64588">
        <w:rPr>
          <w:color w:val="333333"/>
        </w:rPr>
        <w:t>ляющей бизнеса медийных агентств,</w:t>
      </w:r>
      <w:r w:rsidR="00847996">
        <w:rPr>
          <w:color w:val="333333"/>
        </w:rPr>
        <w:t xml:space="preserve"> но </w:t>
      </w:r>
      <w:r w:rsidR="00D64588">
        <w:rPr>
          <w:color w:val="333333"/>
        </w:rPr>
        <w:t xml:space="preserve">до последнего времени </w:t>
      </w:r>
      <w:r w:rsidR="009E4221">
        <w:rPr>
          <w:color w:val="333333"/>
        </w:rPr>
        <w:t xml:space="preserve">он </w:t>
      </w:r>
      <w:r w:rsidR="00847996">
        <w:rPr>
          <w:color w:val="333333"/>
        </w:rPr>
        <w:t>оставался</w:t>
      </w:r>
      <w:r w:rsidR="00D64588">
        <w:rPr>
          <w:color w:val="333333"/>
        </w:rPr>
        <w:t xml:space="preserve"> за рамками</w:t>
      </w:r>
      <w:r w:rsidR="000501E9">
        <w:rPr>
          <w:color w:val="333333"/>
        </w:rPr>
        <w:t xml:space="preserve"> про</w:t>
      </w:r>
      <w:r w:rsidR="00D64588">
        <w:rPr>
          <w:color w:val="333333"/>
        </w:rPr>
        <w:t>изводимых оценок.</w:t>
      </w:r>
      <w:r w:rsidR="00BC5CD5">
        <w:rPr>
          <w:color w:val="333333"/>
        </w:rPr>
        <w:t xml:space="preserve"> </w:t>
      </w:r>
      <w:proofErr w:type="spellStart"/>
      <w:r w:rsidR="00847996">
        <w:rPr>
          <w:color w:val="333333"/>
          <w:lang w:val="en-US"/>
        </w:rPr>
        <w:t>AdIndex</w:t>
      </w:r>
      <w:proofErr w:type="spellEnd"/>
      <w:r w:rsidR="00847996" w:rsidRPr="00847996">
        <w:rPr>
          <w:color w:val="333333"/>
        </w:rPr>
        <w:t xml:space="preserve"> </w:t>
      </w:r>
      <w:r w:rsidR="00847996">
        <w:rPr>
          <w:color w:val="333333"/>
        </w:rPr>
        <w:t xml:space="preserve">опросил крупнейшие </w:t>
      </w:r>
      <w:r w:rsidR="000578D5">
        <w:rPr>
          <w:color w:val="333333"/>
        </w:rPr>
        <w:t>агентства</w:t>
      </w:r>
      <w:r w:rsidR="003C36B1">
        <w:rPr>
          <w:color w:val="333333"/>
        </w:rPr>
        <w:t xml:space="preserve"> с целью выведения средней </w:t>
      </w:r>
      <w:r w:rsidR="003C36B1" w:rsidRPr="003C36B1">
        <w:rPr>
          <w:color w:val="333333"/>
        </w:rPr>
        <w:t xml:space="preserve">наценки к </w:t>
      </w:r>
      <w:proofErr w:type="spellStart"/>
      <w:r w:rsidR="003C36B1" w:rsidRPr="003C36B1">
        <w:rPr>
          <w:color w:val="333333"/>
        </w:rPr>
        <w:t>баинговому</w:t>
      </w:r>
      <w:proofErr w:type="spellEnd"/>
      <w:r w:rsidR="003C36B1" w:rsidRPr="003C36B1">
        <w:rPr>
          <w:color w:val="333333"/>
        </w:rPr>
        <w:t xml:space="preserve"> бюджету</w:t>
      </w:r>
      <w:r w:rsidR="003C36B1">
        <w:rPr>
          <w:color w:val="333333"/>
        </w:rPr>
        <w:t>, применяемой при формировании</w:t>
      </w:r>
      <w:r w:rsidR="00C26254">
        <w:rPr>
          <w:color w:val="333333"/>
        </w:rPr>
        <w:t xml:space="preserve"> </w:t>
      </w:r>
      <w:r w:rsidR="00810905">
        <w:rPr>
          <w:color w:val="333333"/>
        </w:rPr>
        <w:t>стоимостного предложения</w:t>
      </w:r>
      <w:r w:rsidR="003C36B1">
        <w:rPr>
          <w:color w:val="333333"/>
        </w:rPr>
        <w:t xml:space="preserve"> на планировочный сервис.</w:t>
      </w:r>
      <w:r w:rsidR="00F31B7F">
        <w:rPr>
          <w:color w:val="333333"/>
        </w:rPr>
        <w:t xml:space="preserve"> </w:t>
      </w:r>
      <w:r w:rsidR="00147AAC">
        <w:rPr>
          <w:color w:val="333333"/>
        </w:rPr>
        <w:t>В</w:t>
      </w:r>
      <w:r w:rsidR="00C26254">
        <w:rPr>
          <w:color w:val="333333"/>
        </w:rPr>
        <w:t xml:space="preserve"> 2015 году</w:t>
      </w:r>
      <w:r w:rsidR="00147AAC">
        <w:rPr>
          <w:color w:val="333333"/>
        </w:rPr>
        <w:t xml:space="preserve"> </w:t>
      </w:r>
      <w:r w:rsidR="00B92690">
        <w:rPr>
          <w:color w:val="333333"/>
        </w:rPr>
        <w:t>эта величина</w:t>
      </w:r>
      <w:r w:rsidR="00C26254">
        <w:rPr>
          <w:color w:val="333333"/>
        </w:rPr>
        <w:t xml:space="preserve"> составил</w:t>
      </w:r>
      <w:r w:rsidR="00147AAC">
        <w:rPr>
          <w:color w:val="333333"/>
        </w:rPr>
        <w:t>а</w:t>
      </w:r>
      <w:r w:rsidR="00C26254">
        <w:rPr>
          <w:color w:val="333333"/>
        </w:rPr>
        <w:t xml:space="preserve"> 1.8%. Во столько,</w:t>
      </w:r>
      <w:r w:rsidR="00DB48C2">
        <w:rPr>
          <w:color w:val="333333"/>
        </w:rPr>
        <w:t xml:space="preserve"> в среднем, агентства </w:t>
      </w:r>
      <w:r w:rsidR="00147AAC">
        <w:rPr>
          <w:color w:val="333333"/>
        </w:rPr>
        <w:t>оценивают</w:t>
      </w:r>
      <w:r w:rsidR="00DB48C2">
        <w:rPr>
          <w:color w:val="333333"/>
        </w:rPr>
        <w:t xml:space="preserve"> </w:t>
      </w:r>
      <w:r w:rsidR="00147AAC">
        <w:rPr>
          <w:color w:val="333333"/>
        </w:rPr>
        <w:t xml:space="preserve">свою </w:t>
      </w:r>
      <w:proofErr w:type="spellStart"/>
      <w:r w:rsidR="00C26254">
        <w:rPr>
          <w:color w:val="333333"/>
        </w:rPr>
        <w:t>планнинг</w:t>
      </w:r>
      <w:r w:rsidR="00DB48C2">
        <w:rPr>
          <w:color w:val="333333"/>
        </w:rPr>
        <w:t>ов</w:t>
      </w:r>
      <w:r w:rsidR="00147AAC">
        <w:rPr>
          <w:color w:val="333333"/>
        </w:rPr>
        <w:t>ую</w:t>
      </w:r>
      <w:proofErr w:type="spellEnd"/>
      <w:r w:rsidR="00147AAC">
        <w:rPr>
          <w:color w:val="333333"/>
        </w:rPr>
        <w:t xml:space="preserve"> экспертизу</w:t>
      </w:r>
      <w:r w:rsidR="00444E60">
        <w:rPr>
          <w:color w:val="333333"/>
        </w:rPr>
        <w:t>,</w:t>
      </w:r>
      <w:r w:rsidR="00147AAC">
        <w:rPr>
          <w:color w:val="333333"/>
        </w:rPr>
        <w:t xml:space="preserve"> </w:t>
      </w:r>
      <w:r w:rsidR="00B92690">
        <w:rPr>
          <w:color w:val="333333"/>
        </w:rPr>
        <w:t>о</w:t>
      </w:r>
      <w:r w:rsidR="00FC718D">
        <w:rPr>
          <w:color w:val="333333"/>
        </w:rPr>
        <w:t>т</w:t>
      </w:r>
      <w:r w:rsidR="00B92690">
        <w:rPr>
          <w:color w:val="333333"/>
        </w:rPr>
        <w:t>носительно</w:t>
      </w:r>
      <w:r w:rsidR="00147AAC">
        <w:rPr>
          <w:color w:val="333333"/>
        </w:rPr>
        <w:t xml:space="preserve"> бюджет</w:t>
      </w:r>
      <w:r w:rsidR="00B92690">
        <w:rPr>
          <w:color w:val="333333"/>
        </w:rPr>
        <w:t>ов</w:t>
      </w:r>
      <w:r w:rsidR="00147AAC">
        <w:rPr>
          <w:color w:val="333333"/>
        </w:rPr>
        <w:t xml:space="preserve"> на размещение</w:t>
      </w:r>
      <w:r w:rsidR="00DB48C2">
        <w:rPr>
          <w:color w:val="333333"/>
        </w:rPr>
        <w:t xml:space="preserve">. </w:t>
      </w:r>
      <w:r w:rsidR="007C3265">
        <w:rPr>
          <w:color w:val="333333"/>
        </w:rPr>
        <w:t xml:space="preserve">Однако </w:t>
      </w:r>
      <w:r w:rsidR="00D036F5">
        <w:rPr>
          <w:color w:val="333333"/>
        </w:rPr>
        <w:t xml:space="preserve">прямой корреляции </w:t>
      </w:r>
      <w:r w:rsidR="00A543A4">
        <w:rPr>
          <w:color w:val="333333"/>
        </w:rPr>
        <w:t xml:space="preserve">между </w:t>
      </w:r>
      <w:proofErr w:type="spellStart"/>
      <w:r w:rsidR="00D036F5">
        <w:rPr>
          <w:color w:val="333333"/>
        </w:rPr>
        <w:t>баинговы</w:t>
      </w:r>
      <w:r w:rsidR="00A543A4">
        <w:rPr>
          <w:color w:val="333333"/>
        </w:rPr>
        <w:t>ми</w:t>
      </w:r>
      <w:proofErr w:type="spellEnd"/>
      <w:r w:rsidR="00D036F5">
        <w:rPr>
          <w:color w:val="333333"/>
        </w:rPr>
        <w:t xml:space="preserve"> </w:t>
      </w:r>
      <w:r w:rsidR="00A543A4">
        <w:rPr>
          <w:color w:val="333333"/>
        </w:rPr>
        <w:t xml:space="preserve">и </w:t>
      </w:r>
      <w:proofErr w:type="spellStart"/>
      <w:r w:rsidR="00A543A4">
        <w:rPr>
          <w:color w:val="333333"/>
        </w:rPr>
        <w:t>планнинговыми</w:t>
      </w:r>
      <w:proofErr w:type="spellEnd"/>
      <w:r w:rsidR="00A543A4">
        <w:rPr>
          <w:color w:val="333333"/>
        </w:rPr>
        <w:t xml:space="preserve"> </w:t>
      </w:r>
      <w:r w:rsidR="00D036F5">
        <w:rPr>
          <w:color w:val="333333"/>
        </w:rPr>
        <w:t>оборот</w:t>
      </w:r>
      <w:r w:rsidR="00A543A4">
        <w:rPr>
          <w:color w:val="333333"/>
        </w:rPr>
        <w:t xml:space="preserve">ами не </w:t>
      </w:r>
      <w:r w:rsidR="007C3265">
        <w:rPr>
          <w:color w:val="333333"/>
        </w:rPr>
        <w:t>прослеживается</w:t>
      </w:r>
      <w:r w:rsidR="00A543A4">
        <w:rPr>
          <w:color w:val="333333"/>
        </w:rPr>
        <w:t>.</w:t>
      </w:r>
      <w:r w:rsidR="00D036F5">
        <w:rPr>
          <w:color w:val="333333"/>
        </w:rPr>
        <w:t xml:space="preserve"> </w:t>
      </w:r>
      <w:r w:rsidR="005C1F5B">
        <w:rPr>
          <w:color w:val="333333"/>
        </w:rPr>
        <w:t xml:space="preserve">Часто </w:t>
      </w:r>
      <w:proofErr w:type="spellStart"/>
      <w:r w:rsidR="005C1F5B">
        <w:rPr>
          <w:color w:val="333333"/>
        </w:rPr>
        <w:t>баинговые</w:t>
      </w:r>
      <w:proofErr w:type="spellEnd"/>
      <w:r w:rsidR="005C1F5B">
        <w:rPr>
          <w:color w:val="333333"/>
        </w:rPr>
        <w:t xml:space="preserve"> и </w:t>
      </w:r>
      <w:proofErr w:type="spellStart"/>
      <w:r w:rsidR="005C1F5B">
        <w:rPr>
          <w:color w:val="333333"/>
        </w:rPr>
        <w:t>планнинговые</w:t>
      </w:r>
      <w:proofErr w:type="spellEnd"/>
      <w:r w:rsidR="005C1F5B">
        <w:rPr>
          <w:color w:val="333333"/>
        </w:rPr>
        <w:t xml:space="preserve"> сервисы поручаются разным подрядчикам. К примеру, планирование всех рекламных </w:t>
      </w:r>
      <w:r w:rsidR="005C1F5B">
        <w:rPr>
          <w:color w:val="333333"/>
        </w:rPr>
        <w:lastRenderedPageBreak/>
        <w:t xml:space="preserve">кампаний для МТС занимается </w:t>
      </w:r>
      <w:r w:rsidR="00FC718D">
        <w:rPr>
          <w:color w:val="333333"/>
        </w:rPr>
        <w:t xml:space="preserve">агентство </w:t>
      </w:r>
      <w:proofErr w:type="spellStart"/>
      <w:r w:rsidR="002F07F5" w:rsidRPr="002F07F5">
        <w:rPr>
          <w:color w:val="333333"/>
        </w:rPr>
        <w:t>MindShare</w:t>
      </w:r>
      <w:proofErr w:type="spellEnd"/>
      <w:r w:rsidR="002F07F5">
        <w:rPr>
          <w:color w:val="333333"/>
        </w:rPr>
        <w:t xml:space="preserve"> (входит в </w:t>
      </w:r>
      <w:r w:rsidR="002F07F5">
        <w:rPr>
          <w:color w:val="333333"/>
          <w:lang w:val="en-US"/>
        </w:rPr>
        <w:t>Group</w:t>
      </w:r>
      <w:r w:rsidR="002F07F5" w:rsidRPr="002F07F5">
        <w:rPr>
          <w:color w:val="333333"/>
        </w:rPr>
        <w:t xml:space="preserve"> </w:t>
      </w:r>
      <w:r w:rsidR="002F07F5">
        <w:rPr>
          <w:color w:val="333333"/>
          <w:lang w:val="en-US"/>
        </w:rPr>
        <w:t>M</w:t>
      </w:r>
      <w:r w:rsidR="002F07F5" w:rsidRPr="002F07F5">
        <w:rPr>
          <w:color w:val="333333"/>
        </w:rPr>
        <w:t>)</w:t>
      </w:r>
      <w:r w:rsidR="002F07F5">
        <w:rPr>
          <w:color w:val="333333"/>
        </w:rPr>
        <w:t xml:space="preserve">, а </w:t>
      </w:r>
      <w:proofErr w:type="spellStart"/>
      <w:r w:rsidR="002F07F5">
        <w:rPr>
          <w:color w:val="333333"/>
        </w:rPr>
        <w:t>баингом</w:t>
      </w:r>
      <w:proofErr w:type="spellEnd"/>
      <w:r w:rsidR="002F07F5">
        <w:rPr>
          <w:color w:val="333333"/>
        </w:rPr>
        <w:t xml:space="preserve"> –</w:t>
      </w:r>
      <w:r w:rsidR="007C3265">
        <w:rPr>
          <w:color w:val="333333"/>
        </w:rPr>
        <w:t xml:space="preserve"> </w:t>
      </w:r>
      <w:r w:rsidR="002F07F5">
        <w:rPr>
          <w:color w:val="333333"/>
          <w:lang w:val="en-US"/>
        </w:rPr>
        <w:t>Maxima</w:t>
      </w:r>
      <w:r w:rsidR="002F07F5" w:rsidRPr="002F07F5">
        <w:rPr>
          <w:color w:val="333333"/>
        </w:rPr>
        <w:t xml:space="preserve"> (</w:t>
      </w:r>
      <w:r w:rsidR="002F07F5">
        <w:rPr>
          <w:color w:val="333333"/>
        </w:rPr>
        <w:t xml:space="preserve">АДВ). </w:t>
      </w:r>
      <w:proofErr w:type="spellStart"/>
      <w:r w:rsidR="00223889">
        <w:rPr>
          <w:color w:val="333333"/>
        </w:rPr>
        <w:t>Ба</w:t>
      </w:r>
      <w:r w:rsidR="00D4769A">
        <w:rPr>
          <w:color w:val="333333"/>
        </w:rPr>
        <w:t>инг</w:t>
      </w:r>
      <w:proofErr w:type="spellEnd"/>
      <w:r w:rsidR="00D4769A">
        <w:rPr>
          <w:color w:val="333333"/>
        </w:rPr>
        <w:t xml:space="preserve"> для крупнейшего рекламодателя страны </w:t>
      </w:r>
      <w:proofErr w:type="spellStart"/>
      <w:r w:rsidR="00D4769A" w:rsidRPr="00D4769A">
        <w:rPr>
          <w:color w:val="333333"/>
        </w:rPr>
        <w:t>Procter</w:t>
      </w:r>
      <w:proofErr w:type="spellEnd"/>
      <w:r w:rsidR="00D4769A" w:rsidRPr="00D4769A">
        <w:rPr>
          <w:color w:val="333333"/>
        </w:rPr>
        <w:t xml:space="preserve"> &amp; </w:t>
      </w:r>
      <w:proofErr w:type="spellStart"/>
      <w:r w:rsidR="00D4769A" w:rsidRPr="00D4769A">
        <w:rPr>
          <w:color w:val="333333"/>
        </w:rPr>
        <w:t>Gamble</w:t>
      </w:r>
      <w:proofErr w:type="spellEnd"/>
      <w:r w:rsidR="00D4769A" w:rsidRPr="00D4769A">
        <w:rPr>
          <w:color w:val="333333"/>
        </w:rPr>
        <w:t xml:space="preserve"> </w:t>
      </w:r>
      <w:r w:rsidR="00D4769A">
        <w:rPr>
          <w:color w:val="333333"/>
        </w:rPr>
        <w:t xml:space="preserve">консолидирован в агентстве </w:t>
      </w:r>
      <w:r w:rsidR="00D4769A">
        <w:rPr>
          <w:color w:val="333333"/>
          <w:lang w:val="en-US"/>
        </w:rPr>
        <w:t>Starcom</w:t>
      </w:r>
      <w:r w:rsidR="00C2034F">
        <w:rPr>
          <w:color w:val="333333"/>
        </w:rPr>
        <w:t xml:space="preserve"> (</w:t>
      </w:r>
      <w:r w:rsidR="00C2034F">
        <w:rPr>
          <w:color w:val="333333"/>
          <w:lang w:val="en-US"/>
        </w:rPr>
        <w:t>VivaKi</w:t>
      </w:r>
      <w:r w:rsidR="00C2034F" w:rsidRPr="00C2034F">
        <w:rPr>
          <w:color w:val="333333"/>
        </w:rPr>
        <w:t xml:space="preserve"> </w:t>
      </w:r>
      <w:r w:rsidR="00C2034F">
        <w:rPr>
          <w:color w:val="333333"/>
          <w:lang w:val="en-US"/>
        </w:rPr>
        <w:t>Russia</w:t>
      </w:r>
      <w:r w:rsidR="00C2034F" w:rsidRPr="00C2034F">
        <w:rPr>
          <w:color w:val="333333"/>
        </w:rPr>
        <w:t>)</w:t>
      </w:r>
      <w:r w:rsidR="00D4769A">
        <w:rPr>
          <w:color w:val="333333"/>
        </w:rPr>
        <w:t xml:space="preserve">, </w:t>
      </w:r>
      <w:r w:rsidR="00223889">
        <w:rPr>
          <w:color w:val="333333"/>
        </w:rPr>
        <w:t>а</w:t>
      </w:r>
      <w:r w:rsidR="00D4769A">
        <w:rPr>
          <w:color w:val="333333"/>
        </w:rPr>
        <w:t xml:space="preserve"> </w:t>
      </w:r>
      <w:proofErr w:type="spellStart"/>
      <w:r w:rsidR="00D4769A">
        <w:rPr>
          <w:color w:val="333333"/>
        </w:rPr>
        <w:t>планнинг</w:t>
      </w:r>
      <w:proofErr w:type="spellEnd"/>
      <w:r w:rsidR="00D4769A">
        <w:rPr>
          <w:color w:val="333333"/>
        </w:rPr>
        <w:t xml:space="preserve"> </w:t>
      </w:r>
      <w:r w:rsidR="00C2034F">
        <w:rPr>
          <w:color w:val="333333"/>
        </w:rPr>
        <w:t xml:space="preserve">– в </w:t>
      </w:r>
      <w:proofErr w:type="spellStart"/>
      <w:r w:rsidR="00C2034F" w:rsidRPr="00C2034F">
        <w:rPr>
          <w:color w:val="333333"/>
        </w:rPr>
        <w:t>MediaCom</w:t>
      </w:r>
      <w:proofErr w:type="spellEnd"/>
      <w:r w:rsidR="00C2034F" w:rsidRPr="00C2034F">
        <w:rPr>
          <w:color w:val="333333"/>
        </w:rPr>
        <w:t xml:space="preserve"> (</w:t>
      </w:r>
      <w:r w:rsidR="00C2034F">
        <w:rPr>
          <w:color w:val="333333"/>
          <w:lang w:val="en-US"/>
        </w:rPr>
        <w:t>Group</w:t>
      </w:r>
      <w:r w:rsidR="00C2034F" w:rsidRPr="002F07F5">
        <w:rPr>
          <w:color w:val="333333"/>
        </w:rPr>
        <w:t xml:space="preserve"> </w:t>
      </w:r>
      <w:r w:rsidR="00C2034F">
        <w:rPr>
          <w:color w:val="333333"/>
          <w:lang w:val="en-US"/>
        </w:rPr>
        <w:t>M</w:t>
      </w:r>
      <w:r w:rsidR="00C2034F" w:rsidRPr="00C2034F">
        <w:rPr>
          <w:color w:val="333333"/>
        </w:rPr>
        <w:t>)</w:t>
      </w:r>
      <w:r w:rsidR="00223889">
        <w:rPr>
          <w:color w:val="333333"/>
        </w:rPr>
        <w:t xml:space="preserve">. </w:t>
      </w:r>
      <w:r w:rsidR="00CF1CCA">
        <w:rPr>
          <w:color w:val="333333"/>
        </w:rPr>
        <w:t>А</w:t>
      </w:r>
      <w:r w:rsidR="000B3258">
        <w:rPr>
          <w:color w:val="333333"/>
        </w:rPr>
        <w:t>гентства</w:t>
      </w:r>
      <w:r w:rsidR="00DB48C2">
        <w:rPr>
          <w:color w:val="333333"/>
        </w:rPr>
        <w:t xml:space="preserve">, которые в рамках </w:t>
      </w:r>
      <w:r w:rsidR="00CB6C20">
        <w:rPr>
          <w:color w:val="333333"/>
        </w:rPr>
        <w:t xml:space="preserve">предоставления клиентских листов уточнили, для каких клиентов в 2015 году они занимались планированием кампаний, </w:t>
      </w:r>
      <w:r w:rsidR="000B3258">
        <w:rPr>
          <w:color w:val="333333"/>
        </w:rPr>
        <w:t xml:space="preserve">получили </w:t>
      </w:r>
      <w:proofErr w:type="spellStart"/>
      <w:r w:rsidR="000B3258">
        <w:rPr>
          <w:color w:val="333333"/>
        </w:rPr>
        <w:t>эстимацию</w:t>
      </w:r>
      <w:proofErr w:type="spellEnd"/>
      <w:r w:rsidR="00A470E7">
        <w:rPr>
          <w:color w:val="333333"/>
        </w:rPr>
        <w:t xml:space="preserve"> планировочной</w:t>
      </w:r>
      <w:r w:rsidR="00CF1CCA">
        <w:rPr>
          <w:color w:val="333333"/>
        </w:rPr>
        <w:t xml:space="preserve"> составляющей</w:t>
      </w:r>
      <w:r w:rsidR="00CB6C20">
        <w:rPr>
          <w:color w:val="333333"/>
        </w:rPr>
        <w:t>.</w:t>
      </w:r>
      <w:r w:rsidR="000C2DEA">
        <w:rPr>
          <w:color w:val="333333"/>
        </w:rPr>
        <w:t xml:space="preserve"> В установочный рейтинг 2015 года вошли компании с </w:t>
      </w:r>
      <w:proofErr w:type="spellStart"/>
      <w:r w:rsidR="000C2DEA">
        <w:rPr>
          <w:color w:val="333333"/>
        </w:rPr>
        <w:t>планнинговым</w:t>
      </w:r>
      <w:proofErr w:type="spellEnd"/>
      <w:r w:rsidR="000C2DEA">
        <w:rPr>
          <w:color w:val="333333"/>
        </w:rPr>
        <w:t xml:space="preserve"> оборотом более 10 млн рублей. </w:t>
      </w:r>
      <w:r w:rsidR="00444E60">
        <w:rPr>
          <w:color w:val="333333"/>
        </w:rPr>
        <w:t>Результаты исследования</w:t>
      </w:r>
      <w:r w:rsidR="000C2DEA">
        <w:rPr>
          <w:color w:val="333333"/>
        </w:rPr>
        <w:t xml:space="preserve"> доступно только подписчик</w:t>
      </w:r>
      <w:r w:rsidR="00444E60">
        <w:rPr>
          <w:color w:val="333333"/>
        </w:rPr>
        <w:t>ам</w:t>
      </w:r>
      <w:r w:rsidR="000C2DEA">
        <w:rPr>
          <w:color w:val="333333"/>
        </w:rPr>
        <w:t xml:space="preserve"> </w:t>
      </w:r>
      <w:proofErr w:type="spellStart"/>
      <w:r w:rsidR="000C2DEA">
        <w:rPr>
          <w:color w:val="333333"/>
          <w:lang w:val="en-US"/>
        </w:rPr>
        <w:t>AdIndex</w:t>
      </w:r>
      <w:proofErr w:type="spellEnd"/>
      <w:r w:rsidR="000C2DEA">
        <w:rPr>
          <w:color w:val="333333"/>
        </w:rPr>
        <w:t>.</w:t>
      </w:r>
      <w:r w:rsidR="00286C25" w:rsidRPr="00B94312">
        <w:rPr>
          <w:color w:val="333333"/>
        </w:rPr>
        <w:br/>
      </w:r>
    </w:p>
    <w:sectPr w:rsidR="00250D54" w:rsidRPr="00D64588" w:rsidSect="000F593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783B1" w14:textId="77777777" w:rsidR="003D1382" w:rsidRDefault="003D1382" w:rsidP="00736179">
      <w:r>
        <w:separator/>
      </w:r>
    </w:p>
  </w:endnote>
  <w:endnote w:type="continuationSeparator" w:id="0">
    <w:p w14:paraId="13E6A514" w14:textId="77777777" w:rsidR="003D1382" w:rsidRDefault="003D1382" w:rsidP="0073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3BD12" w14:textId="77777777" w:rsidR="003D1382" w:rsidRDefault="003D1382" w:rsidP="00736179">
      <w:r>
        <w:separator/>
      </w:r>
    </w:p>
  </w:footnote>
  <w:footnote w:type="continuationSeparator" w:id="0">
    <w:p w14:paraId="3ECC22A3" w14:textId="77777777" w:rsidR="003D1382" w:rsidRDefault="003D1382" w:rsidP="00736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29"/>
    <w:rsid w:val="00015270"/>
    <w:rsid w:val="00022461"/>
    <w:rsid w:val="00022AA8"/>
    <w:rsid w:val="000501E9"/>
    <w:rsid w:val="000578D5"/>
    <w:rsid w:val="000714A6"/>
    <w:rsid w:val="00082320"/>
    <w:rsid w:val="00087E29"/>
    <w:rsid w:val="000914B1"/>
    <w:rsid w:val="000B04BC"/>
    <w:rsid w:val="000B3258"/>
    <w:rsid w:val="000C2DEA"/>
    <w:rsid w:val="000C31B8"/>
    <w:rsid w:val="000D6B3E"/>
    <w:rsid w:val="000F5935"/>
    <w:rsid w:val="000F7443"/>
    <w:rsid w:val="00107A5C"/>
    <w:rsid w:val="0012026A"/>
    <w:rsid w:val="00127854"/>
    <w:rsid w:val="00147AAC"/>
    <w:rsid w:val="001605E7"/>
    <w:rsid w:val="001635CE"/>
    <w:rsid w:val="00176265"/>
    <w:rsid w:val="0018312C"/>
    <w:rsid w:val="001B53F5"/>
    <w:rsid w:val="001C6DE4"/>
    <w:rsid w:val="001F66C9"/>
    <w:rsid w:val="001F7FE5"/>
    <w:rsid w:val="0021772F"/>
    <w:rsid w:val="00223889"/>
    <w:rsid w:val="0023129A"/>
    <w:rsid w:val="002318D3"/>
    <w:rsid w:val="00233DC8"/>
    <w:rsid w:val="00242E26"/>
    <w:rsid w:val="00246BBF"/>
    <w:rsid w:val="00250D54"/>
    <w:rsid w:val="00254B0A"/>
    <w:rsid w:val="0027679E"/>
    <w:rsid w:val="00286C25"/>
    <w:rsid w:val="0028780D"/>
    <w:rsid w:val="002A1FD1"/>
    <w:rsid w:val="002A3EDB"/>
    <w:rsid w:val="002A75CB"/>
    <w:rsid w:val="002D0CEE"/>
    <w:rsid w:val="002F07F5"/>
    <w:rsid w:val="00304028"/>
    <w:rsid w:val="0030738E"/>
    <w:rsid w:val="00324729"/>
    <w:rsid w:val="003378A2"/>
    <w:rsid w:val="00340035"/>
    <w:rsid w:val="003A6D55"/>
    <w:rsid w:val="003C2AD8"/>
    <w:rsid w:val="003C36B1"/>
    <w:rsid w:val="003C3DB4"/>
    <w:rsid w:val="003D1382"/>
    <w:rsid w:val="00403558"/>
    <w:rsid w:val="00421DE8"/>
    <w:rsid w:val="00444E60"/>
    <w:rsid w:val="00474A87"/>
    <w:rsid w:val="00477C88"/>
    <w:rsid w:val="004A13F5"/>
    <w:rsid w:val="004A2543"/>
    <w:rsid w:val="004A4CAA"/>
    <w:rsid w:val="004A64EF"/>
    <w:rsid w:val="004C3954"/>
    <w:rsid w:val="004F1E87"/>
    <w:rsid w:val="00513C07"/>
    <w:rsid w:val="0052214C"/>
    <w:rsid w:val="0054403F"/>
    <w:rsid w:val="0054612A"/>
    <w:rsid w:val="00571F02"/>
    <w:rsid w:val="00582CBB"/>
    <w:rsid w:val="00593E2E"/>
    <w:rsid w:val="005C1F5B"/>
    <w:rsid w:val="005C2E2B"/>
    <w:rsid w:val="005C409D"/>
    <w:rsid w:val="005D095B"/>
    <w:rsid w:val="005E5E2F"/>
    <w:rsid w:val="005E7446"/>
    <w:rsid w:val="005E7631"/>
    <w:rsid w:val="00635D57"/>
    <w:rsid w:val="00637208"/>
    <w:rsid w:val="00645157"/>
    <w:rsid w:val="0066509E"/>
    <w:rsid w:val="006721BB"/>
    <w:rsid w:val="0068221A"/>
    <w:rsid w:val="006A5970"/>
    <w:rsid w:val="006D00D4"/>
    <w:rsid w:val="006D05B2"/>
    <w:rsid w:val="006E0C79"/>
    <w:rsid w:val="006E620E"/>
    <w:rsid w:val="006E7D7A"/>
    <w:rsid w:val="007118C4"/>
    <w:rsid w:val="00722BB3"/>
    <w:rsid w:val="00722D05"/>
    <w:rsid w:val="00736179"/>
    <w:rsid w:val="0074210E"/>
    <w:rsid w:val="00756FE0"/>
    <w:rsid w:val="00772231"/>
    <w:rsid w:val="007969E4"/>
    <w:rsid w:val="00797F55"/>
    <w:rsid w:val="007A54A0"/>
    <w:rsid w:val="007B4ED4"/>
    <w:rsid w:val="007C3265"/>
    <w:rsid w:val="007C33A2"/>
    <w:rsid w:val="007C6666"/>
    <w:rsid w:val="00806161"/>
    <w:rsid w:val="00810905"/>
    <w:rsid w:val="00821271"/>
    <w:rsid w:val="00823F63"/>
    <w:rsid w:val="00830752"/>
    <w:rsid w:val="00845F6E"/>
    <w:rsid w:val="00847996"/>
    <w:rsid w:val="0085481E"/>
    <w:rsid w:val="00862957"/>
    <w:rsid w:val="00874045"/>
    <w:rsid w:val="00874E42"/>
    <w:rsid w:val="008C64F6"/>
    <w:rsid w:val="008E2D22"/>
    <w:rsid w:val="008F492C"/>
    <w:rsid w:val="00941889"/>
    <w:rsid w:val="00957FAD"/>
    <w:rsid w:val="00973E18"/>
    <w:rsid w:val="00981517"/>
    <w:rsid w:val="009A53AC"/>
    <w:rsid w:val="009A5474"/>
    <w:rsid w:val="009E4221"/>
    <w:rsid w:val="00A159A1"/>
    <w:rsid w:val="00A160E0"/>
    <w:rsid w:val="00A252CB"/>
    <w:rsid w:val="00A25CAB"/>
    <w:rsid w:val="00A2751E"/>
    <w:rsid w:val="00A470E7"/>
    <w:rsid w:val="00A47140"/>
    <w:rsid w:val="00A479F3"/>
    <w:rsid w:val="00A543A4"/>
    <w:rsid w:val="00A656CE"/>
    <w:rsid w:val="00A725E8"/>
    <w:rsid w:val="00A827F6"/>
    <w:rsid w:val="00AA4C24"/>
    <w:rsid w:val="00AD4BC4"/>
    <w:rsid w:val="00AE3463"/>
    <w:rsid w:val="00AF6465"/>
    <w:rsid w:val="00B1349C"/>
    <w:rsid w:val="00B20F83"/>
    <w:rsid w:val="00B40108"/>
    <w:rsid w:val="00B53492"/>
    <w:rsid w:val="00B6164B"/>
    <w:rsid w:val="00B73360"/>
    <w:rsid w:val="00B84B3E"/>
    <w:rsid w:val="00B92690"/>
    <w:rsid w:val="00B9309C"/>
    <w:rsid w:val="00B94312"/>
    <w:rsid w:val="00B95FD7"/>
    <w:rsid w:val="00B97F90"/>
    <w:rsid w:val="00BC5CD5"/>
    <w:rsid w:val="00BC6263"/>
    <w:rsid w:val="00BD561E"/>
    <w:rsid w:val="00BD6DEA"/>
    <w:rsid w:val="00BF5CF4"/>
    <w:rsid w:val="00C2034F"/>
    <w:rsid w:val="00C25256"/>
    <w:rsid w:val="00C26254"/>
    <w:rsid w:val="00C27A37"/>
    <w:rsid w:val="00C31ECC"/>
    <w:rsid w:val="00C35CDE"/>
    <w:rsid w:val="00C44A73"/>
    <w:rsid w:val="00C6169E"/>
    <w:rsid w:val="00C64C27"/>
    <w:rsid w:val="00C64DA1"/>
    <w:rsid w:val="00C664D3"/>
    <w:rsid w:val="00C70370"/>
    <w:rsid w:val="00C826C8"/>
    <w:rsid w:val="00CB6C20"/>
    <w:rsid w:val="00CF1CCA"/>
    <w:rsid w:val="00CF5B3A"/>
    <w:rsid w:val="00D01740"/>
    <w:rsid w:val="00D0237F"/>
    <w:rsid w:val="00D036F5"/>
    <w:rsid w:val="00D041FC"/>
    <w:rsid w:val="00D32067"/>
    <w:rsid w:val="00D4769A"/>
    <w:rsid w:val="00D64588"/>
    <w:rsid w:val="00D8700E"/>
    <w:rsid w:val="00DB48C2"/>
    <w:rsid w:val="00DB64F0"/>
    <w:rsid w:val="00DC622D"/>
    <w:rsid w:val="00DF0047"/>
    <w:rsid w:val="00E118D6"/>
    <w:rsid w:val="00E45127"/>
    <w:rsid w:val="00E654BD"/>
    <w:rsid w:val="00E84616"/>
    <w:rsid w:val="00E97806"/>
    <w:rsid w:val="00EB4C7E"/>
    <w:rsid w:val="00EB6599"/>
    <w:rsid w:val="00EC1BB8"/>
    <w:rsid w:val="00EF38D6"/>
    <w:rsid w:val="00EF4B89"/>
    <w:rsid w:val="00EF6238"/>
    <w:rsid w:val="00F02F2A"/>
    <w:rsid w:val="00F06F0F"/>
    <w:rsid w:val="00F31B7F"/>
    <w:rsid w:val="00F31D51"/>
    <w:rsid w:val="00F8467D"/>
    <w:rsid w:val="00F938CA"/>
    <w:rsid w:val="00F93C2B"/>
    <w:rsid w:val="00FB0DB6"/>
    <w:rsid w:val="00FC2407"/>
    <w:rsid w:val="00FC718D"/>
    <w:rsid w:val="00FD0054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CECD"/>
  <w15:docId w15:val="{16835968-DC87-4EB3-B88E-246EB3B2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F9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97F9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F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F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a"/>
    <w:basedOn w:val="a"/>
    <w:rsid w:val="00B97F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5270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15270"/>
    <w:rPr>
      <w:rFonts w:ascii="Calibri" w:hAnsi="Calibri" w:cs="Calibr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6179"/>
  </w:style>
  <w:style w:type="paragraph" w:styleId="a7">
    <w:name w:val="footer"/>
    <w:basedOn w:val="a"/>
    <w:link w:val="a8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179"/>
  </w:style>
  <w:style w:type="paragraph" w:styleId="a9">
    <w:name w:val="Normal (Web)"/>
    <w:basedOn w:val="a"/>
    <w:uiPriority w:val="99"/>
    <w:semiHidden/>
    <w:unhideWhenUsed/>
    <w:rsid w:val="00286C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9">
    <w:name w:val="span9"/>
    <w:basedOn w:val="a"/>
    <w:rsid w:val="00286C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B6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ndex.ru/files2/rating/2016_04/127699_Metodology%202015.p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Щуковская</cp:lastModifiedBy>
  <cp:revision>2</cp:revision>
  <dcterms:created xsi:type="dcterms:W3CDTF">2020-11-24T08:32:00Z</dcterms:created>
  <dcterms:modified xsi:type="dcterms:W3CDTF">2020-11-24T08:32:00Z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2094927184</vt:i4>
  </property>
  <property fmtid="{D5CDD505-2E9C-101B-9397-08002B2CF9AE}" pid="3" name="_NewReviewCycle">
    <vt:lpwstr/>
  </property>
  <property fmtid="{D5CDD505-2E9C-101B-9397-08002B2CF9AE}" pid="4" name="_EmailSubject">
    <vt:lpwstr>методика</vt:lpwstr>
  </property>
  <property fmtid="{D5CDD505-2E9C-101B-9397-08002B2CF9AE}" pid="5" name="_AuthorEmail">
    <vt:lpwstr>irina@adindex.ru</vt:lpwstr>
  </property>
  <property fmtid="{D5CDD505-2E9C-101B-9397-08002B2CF9AE}" pid="6" name="_AuthorEmailDisplayName">
    <vt:lpwstr>Пустовит Ирина</vt:lpwstr>
  </property>
  <property fmtid="{D5CDD505-2E9C-101B-9397-08002B2CF9AE}" pid="7" name="_ReviewingToolsShownOnce">
    <vt:lpwstr/>
  </property>
</Properties>
</file>